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Oct. </w:t>
      </w:r>
      <w:r>
        <w:rPr>
          <w:b w:val="1"/>
          <w:bCs w:val="1"/>
          <w:sz w:val="26"/>
          <w:szCs w:val="26"/>
          <w:rtl w:val="0"/>
          <w:lang w:val="en-US"/>
        </w:rPr>
        <w:t>16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James Pogue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Continuum of Care Housing Advocacy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Tie together how our brainstorming could be put to work in advocacy work.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Amanda DeShazo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Brainstorm about housing for those at 0-30% Area Median Income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Breakout groups to come up with ideas, then report out.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James Pogue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Recommendations for County-wide rental assistance from Jan. 1, 2021 onward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Breakout groups to help inform this work.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Winter Shelter Planning Update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Here a short update on the effort to hire a Coordinator.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Gerrit Nyland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October </w:t>
      </w:r>
      <w:r>
        <w:rPr>
          <w:sz w:val="24"/>
          <w:szCs w:val="24"/>
          <w:rtl w:val="0"/>
          <w:lang w:val="en-US"/>
        </w:rPr>
        <w:t>23</w:t>
      </w:r>
      <w:r>
        <w:rPr>
          <w:sz w:val="24"/>
          <w:szCs w:val="24"/>
          <w:vertAlign w:val="superscript"/>
          <w:rtl w:val="0"/>
          <w:lang w:val="en-US"/>
        </w:rPr>
        <w:t>rd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"/>
  </w:abstractNum>
  <w:abstractNum w:abstractNumId="9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